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05" w:rsidRDefault="00826A20" w:rsidP="00AC0505">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w:t>
      </w:r>
      <w:r w:rsidR="00AC0505">
        <w:rPr>
          <w:rFonts w:ascii="Palatino Linotype" w:hAnsi="Palatino Linotype"/>
          <w:b/>
          <w:sz w:val="24"/>
          <w:szCs w:val="24"/>
        </w:rPr>
        <w:t xml:space="preserve"> LA COMISIONADA</w:t>
      </w:r>
      <w:r w:rsidR="00E92880">
        <w:rPr>
          <w:rFonts w:ascii="Palatino Linotype" w:hAnsi="Palatino Linotype"/>
          <w:b/>
          <w:sz w:val="24"/>
          <w:szCs w:val="24"/>
        </w:rPr>
        <w:t xml:space="preserve"> PRESIDENTA</w:t>
      </w:r>
      <w:r w:rsidR="00AC0505" w:rsidRPr="00563D0F">
        <w:rPr>
          <w:rFonts w:ascii="Palatino Linotype" w:hAnsi="Palatino Linotype"/>
          <w:b/>
          <w:sz w:val="24"/>
          <w:szCs w:val="24"/>
        </w:rPr>
        <w:t xml:space="preserve"> ZULEMA MARTÍNEZ SÁNCHEZ, EN RELACIÓN CON LA RESOLUCIÓN DICTADA POR EL PLENO D</w:t>
      </w:r>
      <w:r w:rsidR="00AC0505">
        <w:rPr>
          <w:rFonts w:ascii="Palatino Linotype" w:hAnsi="Palatino Linotype"/>
          <w:b/>
          <w:sz w:val="24"/>
          <w:szCs w:val="24"/>
        </w:rPr>
        <w:t xml:space="preserve">EL INSTITUTO DE TRANSPARENCIA, </w:t>
      </w:r>
      <w:r w:rsidR="00AC0505" w:rsidRPr="00563D0F">
        <w:rPr>
          <w:rFonts w:ascii="Palatino Linotype" w:hAnsi="Palatino Linotype"/>
          <w:b/>
          <w:sz w:val="24"/>
          <w:szCs w:val="24"/>
        </w:rPr>
        <w:t xml:space="preserve">ACCESO A LA INFORMACIÓN PÚBLICA Y PROTECCIÓN DE DATOS PERSONALES DEL ESTADO DE MÉXICO Y MUNICIPIOS, EN LA </w:t>
      </w:r>
      <w:r w:rsidR="00250F74">
        <w:rPr>
          <w:rFonts w:ascii="Palatino Linotype" w:hAnsi="Palatino Linotype"/>
          <w:b/>
          <w:sz w:val="24"/>
          <w:szCs w:val="24"/>
        </w:rPr>
        <w:t>DÉCIMA CUARTA</w:t>
      </w:r>
      <w:r w:rsidR="00AC0505">
        <w:rPr>
          <w:rFonts w:ascii="Palatino Linotype" w:hAnsi="Palatino Linotype"/>
          <w:b/>
          <w:sz w:val="24"/>
          <w:szCs w:val="24"/>
        </w:rPr>
        <w:t xml:space="preserve"> </w:t>
      </w:r>
      <w:r w:rsidR="00AC0505" w:rsidRPr="00563D0F">
        <w:rPr>
          <w:rFonts w:ascii="Palatino Linotype" w:hAnsi="Palatino Linotype"/>
          <w:b/>
          <w:sz w:val="24"/>
          <w:szCs w:val="24"/>
        </w:rPr>
        <w:t>SESIÓN ORDINARIA DE</w:t>
      </w:r>
      <w:r w:rsidR="00AC0505">
        <w:rPr>
          <w:rFonts w:ascii="Palatino Linotype" w:hAnsi="Palatino Linotype"/>
          <w:b/>
          <w:sz w:val="24"/>
          <w:szCs w:val="24"/>
        </w:rPr>
        <w:t>L</w:t>
      </w:r>
      <w:r w:rsidR="00AC0505" w:rsidRPr="00563D0F">
        <w:rPr>
          <w:rFonts w:ascii="Palatino Linotype" w:hAnsi="Palatino Linotype"/>
          <w:b/>
          <w:sz w:val="24"/>
          <w:szCs w:val="24"/>
        </w:rPr>
        <w:t xml:space="preserve"> </w:t>
      </w:r>
      <w:r w:rsidR="00250F74">
        <w:rPr>
          <w:rFonts w:ascii="Palatino Linotype" w:hAnsi="Palatino Linotype"/>
          <w:b/>
          <w:sz w:val="24"/>
          <w:szCs w:val="24"/>
        </w:rPr>
        <w:t>DIEZ DE ABRIL DE DOS MIL DIECINUEVE</w:t>
      </w:r>
      <w:r w:rsidR="00AC0505">
        <w:rPr>
          <w:rFonts w:ascii="Palatino Linotype" w:hAnsi="Palatino Linotype"/>
          <w:b/>
          <w:sz w:val="24"/>
          <w:szCs w:val="24"/>
        </w:rPr>
        <w:t>, EN EL</w:t>
      </w:r>
      <w:r w:rsidR="00AC0505" w:rsidRPr="00563D0F">
        <w:rPr>
          <w:rFonts w:ascii="Palatino Linotype" w:hAnsi="Palatino Linotype"/>
          <w:b/>
          <w:sz w:val="24"/>
          <w:szCs w:val="24"/>
        </w:rPr>
        <w:t xml:space="preserve"> RECURSO DE REVISIÓN </w:t>
      </w:r>
      <w:r w:rsidR="00250F74" w:rsidRPr="00250F74">
        <w:rPr>
          <w:rFonts w:ascii="Palatino Linotype" w:hAnsi="Palatino Linotype"/>
          <w:b/>
          <w:sz w:val="24"/>
          <w:szCs w:val="24"/>
        </w:rPr>
        <w:t>00677/INFOEM/IP/RR/2019</w:t>
      </w:r>
      <w:r w:rsidR="00AC0505">
        <w:rPr>
          <w:rFonts w:ascii="Palatino Linotype" w:hAnsi="Palatino Linotype"/>
          <w:b/>
          <w:sz w:val="24"/>
          <w:szCs w:val="24"/>
        </w:rPr>
        <w:t>.</w:t>
      </w:r>
    </w:p>
    <w:p w:rsidR="00AC0505" w:rsidRPr="00563D0F" w:rsidRDefault="00AC0505" w:rsidP="00AC0505">
      <w:pPr>
        <w:spacing w:after="0" w:line="360" w:lineRule="auto"/>
        <w:jc w:val="both"/>
        <w:rPr>
          <w:rFonts w:ascii="Palatino Linotype" w:hAnsi="Palatino Linotype"/>
          <w:b/>
          <w:sz w:val="24"/>
          <w:szCs w:val="24"/>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Con fundamento en lo dispuesto por el artículo 14 fracción XI del Reglamento Interior del Instituto de Transparencia, Acceso a la Información Pública y Protección de Datos Personales del Es</w:t>
      </w:r>
      <w:r w:rsidR="00826A20">
        <w:rPr>
          <w:rFonts w:ascii="Palatino Linotype" w:hAnsi="Palatino Linotype"/>
        </w:rPr>
        <w:t>tado de México y Municipios, la que suscribe</w:t>
      </w:r>
      <w:r w:rsidRPr="00BC5FC7">
        <w:rPr>
          <w:rFonts w:ascii="Palatino Linotype" w:hAnsi="Palatino Linotype"/>
        </w:rPr>
        <w:t xml:space="preserve"> Comisionada</w:t>
      </w:r>
      <w:r w:rsidR="00E92880">
        <w:rPr>
          <w:rFonts w:ascii="Palatino Linotype" w:hAnsi="Palatino Linotype"/>
        </w:rPr>
        <w:t xml:space="preserve"> Presidenta</w:t>
      </w:r>
      <w:r w:rsidRPr="00BC5FC7">
        <w:rPr>
          <w:rFonts w:ascii="Palatino Linotype" w:hAnsi="Palatino Linotype"/>
        </w:rPr>
        <w:t xml:space="preserve"> Zulema Martínez Sánchez </w:t>
      </w:r>
      <w:r w:rsidR="00826A20">
        <w:rPr>
          <w:rFonts w:ascii="Palatino Linotype" w:hAnsi="Palatino Linotype"/>
        </w:rPr>
        <w:t>emitiendo</w:t>
      </w:r>
      <w:r w:rsidRPr="00BC5FC7">
        <w:rPr>
          <w:rFonts w:ascii="Palatino Linotype" w:hAnsi="Palatino Linotype"/>
        </w:rPr>
        <w:t xml:space="preserve"> VOTO PARTICULAR respecto a la resolución dictada en el recurso de revisión número </w:t>
      </w:r>
      <w:r w:rsidR="00250F74" w:rsidRPr="00250F74">
        <w:rPr>
          <w:rFonts w:ascii="Palatino Linotype" w:hAnsi="Palatino Linotype"/>
        </w:rPr>
        <w:t>00677/INFOEM/IP/RR/2019</w:t>
      </w:r>
      <w:r w:rsidRPr="00BC5FC7">
        <w:rPr>
          <w:rFonts w:ascii="Palatino Linotype" w:hAnsi="Palatino Linotype"/>
        </w:rPr>
        <w:t>, pronunciada por el Pleno de este Instituto ante el proyecto p</w:t>
      </w:r>
      <w:r w:rsidR="00250F74">
        <w:rPr>
          <w:rFonts w:ascii="Palatino Linotype" w:hAnsi="Palatino Linotype"/>
        </w:rPr>
        <w:t>resentado por la Comisionada</w:t>
      </w:r>
      <w:r w:rsidRPr="00BC5FC7">
        <w:rPr>
          <w:rFonts w:ascii="Palatino Linotype" w:hAnsi="Palatino Linotype"/>
        </w:rPr>
        <w:t xml:space="preserve"> </w:t>
      </w:r>
      <w:r w:rsidR="00250F74" w:rsidRPr="00250F74">
        <w:rPr>
          <w:rFonts w:ascii="Palatino Linotype" w:hAnsi="Palatino Linotype"/>
        </w:rPr>
        <w:t>Eva Abaid Yapur</w:t>
      </w:r>
      <w:r w:rsidRPr="00BC5FC7">
        <w:rPr>
          <w:rFonts w:ascii="Palatino Linotype" w:hAnsi="Palatino Linotype"/>
        </w:rPr>
        <w:t xml:space="preserve">, que es del tenor siguiente: </w:t>
      </w:r>
      <w:r w:rsidR="00250F74">
        <w:rPr>
          <w:rFonts w:ascii="Palatino Linotype" w:hAnsi="Palatino Linotype"/>
        </w:rPr>
        <w:t xml:space="preserve"> </w:t>
      </w:r>
    </w:p>
    <w:p w:rsidR="00AC0505" w:rsidRPr="00BC5FC7" w:rsidRDefault="00AC0505" w:rsidP="00AC0505">
      <w:pPr>
        <w:spacing w:after="0" w:line="360" w:lineRule="auto"/>
        <w:jc w:val="both"/>
        <w:rPr>
          <w:rFonts w:ascii="Palatino Linotype" w:hAnsi="Palatino Linotype"/>
        </w:rPr>
      </w:pPr>
    </w:p>
    <w:p w:rsidR="00AC0505" w:rsidRPr="00BC5FC7" w:rsidRDefault="00826A20" w:rsidP="00AC0505">
      <w:pPr>
        <w:spacing w:after="0" w:line="360" w:lineRule="auto"/>
        <w:jc w:val="both"/>
        <w:rPr>
          <w:rFonts w:ascii="Palatino Linotype" w:hAnsi="Palatino Linotype"/>
        </w:rPr>
      </w:pPr>
      <w:r>
        <w:rPr>
          <w:rFonts w:ascii="Palatino Linotype" w:hAnsi="Palatino Linotype"/>
        </w:rPr>
        <w:t>La suscrita no comparte</w:t>
      </w:r>
      <w:r w:rsidR="00AC0505" w:rsidRPr="00BC5FC7">
        <w:rPr>
          <w:rFonts w:ascii="Palatino Linotype" w:hAnsi="Palatino Linotype"/>
        </w:rPr>
        <w:t xml:space="preserve"> el desechamiento como sentido de la resolución, ya que la Ley de Transparencia vigente en la entidad es muy clara al enmarcar aquellos casos en que debe sobreseerse o desecharse un asunto, esto es así ya que en primer término el desechamiento tiene un momento específico de aplicabilidad, técnicamente conocido como momento procesal oportuno, delimitado por la propia Ley, como a continuación se puede apreciar:</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276" w:lineRule="auto"/>
        <w:ind w:left="851" w:right="1134"/>
        <w:jc w:val="both"/>
        <w:rPr>
          <w:rFonts w:ascii="Palatino Linotype" w:hAnsi="Palatino Linotype" w:cs="Arial"/>
          <w:i/>
        </w:rPr>
      </w:pPr>
      <w:r w:rsidRPr="00BC5FC7">
        <w:rPr>
          <w:rFonts w:ascii="Palatino Linotype" w:hAnsi="Palatino Linotype" w:cs="Arial"/>
          <w:i/>
        </w:rPr>
        <w:lastRenderedPageBreak/>
        <w:t>“Artículo 185. El Instituto resolverá el recurso de revisión conforme a lo siguiente:</w:t>
      </w:r>
    </w:p>
    <w:p w:rsidR="00AC0505" w:rsidRPr="00BC5FC7" w:rsidRDefault="00AC0505" w:rsidP="00AC0505">
      <w:pPr>
        <w:spacing w:after="0" w:line="276" w:lineRule="auto"/>
        <w:ind w:left="851" w:right="1134"/>
        <w:jc w:val="both"/>
        <w:rPr>
          <w:rFonts w:ascii="Palatino Linotype" w:hAnsi="Palatino Linotype"/>
        </w:rPr>
      </w:pPr>
      <w:r w:rsidRPr="00BC5FC7">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BC5FC7">
        <w:rPr>
          <w:rFonts w:ascii="Palatino Linotype" w:hAnsi="Palatino Linotype" w:cs="Arial"/>
          <w:b/>
          <w:i/>
          <w:u w:val="single"/>
        </w:rPr>
        <w:t>quien deberá proceder a su análisis para que decrete su admisión o su desechamiento</w:t>
      </w:r>
      <w:r w:rsidRPr="00BC5FC7">
        <w:rPr>
          <w:rFonts w:ascii="Palatino Linotype" w:hAnsi="Palatino Linotype" w:cs="Arial"/>
          <w:i/>
        </w:rPr>
        <w:t>;”</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El artículo nos aporta varios momentos procesales, consecutivos, primero se interpone el recurso de revisión, a continuación el sistema electrónico (para el presente caso se entiende como el SAIMEX) o la Comisionada Presidenta del Instituto lo turnarán a alguno de los Comisionados; cómo podemos apreciar si el recurso de revisión no se interpone nunca, el SAIMEX o la presidenta no cuentan con oportunidad para turnarlo, es decir, son condicionantes de un momento procesal para turnarlo al Comisionado ponente, y trae como consecuencia que aquel proceda a realizar el análisis del recurso para que decrete su admisión o su desechamiento.</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Así, tenemos que en la fracción en estudio se concreta lo que se denomina como momento procesal, el cual sirve para llevar a cabo una actuación determinada, que una vez transcurrido en exceso no se puede hacer retroactivo, porque el plazo establecido es de carácter perentorio, ya que dicho plazo no acepta prorroga alguna, ni está supeditado a la aparición de una condicional sino que es el momento procesal oportuno para admitir o desechar el recurso de revisión, lo cual puede hacerse mediante una resolución o un acuerdo que deseche o admita el recurso a trámite.</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lastRenderedPageBreak/>
        <w:t xml:space="preserve">Es importante establecer la abismal diferencia entre la interposición de un recurso y el acto procesal de desechar o admitir a trámite el recurso de revisión, es decir, no por el hecho de interponer un recurso de revisión por parte del recurrente, no se entiende que por ese sólo hecho ya debe considerarse </w:t>
      </w:r>
      <w:r w:rsidRPr="00BC5FC7">
        <w:rPr>
          <w:rFonts w:ascii="Palatino Linotype" w:hAnsi="Palatino Linotype"/>
          <w:i/>
        </w:rPr>
        <w:t>de facto</w:t>
      </w:r>
      <w:r w:rsidRPr="00BC5FC7">
        <w:rPr>
          <w:rFonts w:ascii="Palatino Linotype" w:hAnsi="Palatino Linotype"/>
        </w:rPr>
        <w:t xml:space="preserve"> como admitido, claro que no, porque pueden ocurrir elementos o circunstancias que el Comisionado debe analizar </w:t>
      </w:r>
      <w:r w:rsidRPr="00BC5FC7">
        <w:rPr>
          <w:rFonts w:ascii="Palatino Linotype" w:hAnsi="Palatino Linotype"/>
          <w:i/>
        </w:rPr>
        <w:t>a priori</w:t>
      </w:r>
      <w:r w:rsidRPr="00BC5FC7">
        <w:rPr>
          <w:rFonts w:ascii="Palatino Linotype" w:hAnsi="Palatino Linotype"/>
        </w:rPr>
        <w:t>, es decir, previo a su admisión o su desechamiento.</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El artículo en cita es muy claro en ese sentido, específica con notorio énfasis, “</w:t>
      </w:r>
      <w:r w:rsidRPr="00BC5FC7">
        <w:rPr>
          <w:rFonts w:ascii="Palatino Linotype" w:hAnsi="Palatino Linotype"/>
          <w:i/>
        </w:rPr>
        <w:t>quien deberá proceder a su análisis para que decrete su admisión o su desechamiento</w:t>
      </w:r>
      <w:r w:rsidRPr="00BC5FC7">
        <w:rPr>
          <w:rFonts w:ascii="Palatino Linotype" w:hAnsi="Palatino Linotype"/>
        </w:rPr>
        <w:t>;”, decreto que debe ser emitido, como consecuencia por supuesto, del turno del recurso de revisión interpuesto. Así es evidente que la interposición del recurso de revisión no puede ser vista, ni considerada, ni interpretada como una admisión de facto, porque la ley sí los diferencia.</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Para mayor comprensión, es preciso señalar la diferencia entre el concepto de interposición con el de admisión, para poder dar certeza al particular de los momentos procesales que deben acaecer en el recurso de revisión que aquel interpuso, y no dejarlo sin certeza jurídica acerca de la razón por la cual se desechó su recurso.</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Así tenemos que el Diccionario de la Real Academia Española, los define así:</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276" w:lineRule="auto"/>
        <w:ind w:left="851" w:right="706"/>
        <w:jc w:val="both"/>
        <w:rPr>
          <w:rFonts w:ascii="Palatino Linotype" w:hAnsi="Palatino Linotype"/>
        </w:rPr>
      </w:pPr>
      <w:r w:rsidRPr="00BC5FC7">
        <w:rPr>
          <w:rFonts w:ascii="Palatino Linotype" w:hAnsi="Palatino Linotype"/>
        </w:rPr>
        <w:t>Interponer.-  “</w:t>
      </w:r>
      <w:r w:rsidRPr="00BC5FC7">
        <w:rPr>
          <w:rFonts w:ascii="Palatino Linotype" w:hAnsi="Palatino Linotype" w:hint="eastAsia"/>
        </w:rPr>
        <w:t>3. tr. Formalizar por medio de un pedimento alguno de los recursos legales, como el de nulidad, de apelación, etc.</w:t>
      </w:r>
      <w:r w:rsidRPr="00BC5FC7">
        <w:rPr>
          <w:rFonts w:ascii="Palatino Linotype" w:hAnsi="Palatino Linotype"/>
        </w:rPr>
        <w:t>”</w:t>
      </w:r>
    </w:p>
    <w:p w:rsidR="00AC0505" w:rsidRPr="00BC5FC7" w:rsidRDefault="00AC0505" w:rsidP="00AC0505">
      <w:pPr>
        <w:spacing w:after="0" w:line="276" w:lineRule="auto"/>
        <w:ind w:left="851" w:right="706"/>
        <w:jc w:val="both"/>
        <w:rPr>
          <w:rFonts w:ascii="Palatino Linotype" w:hAnsi="Palatino Linotype"/>
        </w:rPr>
      </w:pPr>
    </w:p>
    <w:p w:rsidR="00AC0505" w:rsidRPr="00BC5FC7" w:rsidRDefault="00AC0505" w:rsidP="00AC0505">
      <w:pPr>
        <w:spacing w:after="0" w:line="276" w:lineRule="auto"/>
        <w:ind w:left="851" w:right="706"/>
        <w:jc w:val="both"/>
        <w:rPr>
          <w:rFonts w:ascii="Palatino Linotype" w:hAnsi="Palatino Linotype"/>
        </w:rPr>
      </w:pPr>
      <w:r w:rsidRPr="00BC5FC7">
        <w:rPr>
          <w:rFonts w:ascii="Palatino Linotype" w:hAnsi="Palatino Linotype"/>
        </w:rPr>
        <w:lastRenderedPageBreak/>
        <w:t>Admisión.- “</w:t>
      </w:r>
      <w:r w:rsidRPr="00BC5FC7">
        <w:rPr>
          <w:rFonts w:ascii="Palatino Linotype" w:hAnsi="Palatino Linotype" w:hint="eastAsia"/>
        </w:rPr>
        <w:t>2. f. Der. Trámite en que, atendiendo a aspectos formales, se decide si una demanda, recurso o petición deben ser tomados en consideración para resolver el fondo.</w:t>
      </w:r>
      <w:r w:rsidRPr="00BC5FC7">
        <w:rPr>
          <w:rFonts w:ascii="Palatino Linotype" w:hAnsi="Palatino Linotype"/>
        </w:rPr>
        <w:t>”</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 xml:space="preserve">Entonces, no se debe confundir el acto que lleva a cabo el particular consistente en interponer su recurso de revisión, ese acto corresponde al recurrente que lo hace de mutuo propio, y no la autoridad. </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Mientras que la admisión o el desechamiento del recurso es un acto administrativo, el cual es diverso ya que se lleva de forma separada a la interposición del recurso, y el cual le corresponde a la autoridad llevar a cabo.</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Anteriores consideraciones que se robustecen con el criterio emitido por el Poder Judicial de la Federación a continuación transcrito:</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276" w:lineRule="auto"/>
        <w:ind w:left="851" w:right="992"/>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ES PROCEDENTE CUANDO LA DEMANDA FUE PRESENTADA EXTEMPORANEAMENTE, SIN IMPORTAR QUE INICIALMENTE EL JUEZ LA HUBIESE ADMITIDO.</w:t>
      </w:r>
    </w:p>
    <w:p w:rsidR="00AC0505" w:rsidRPr="00BC5FC7" w:rsidRDefault="00AC0505" w:rsidP="00AC0505">
      <w:pPr>
        <w:spacing w:after="0" w:line="276" w:lineRule="auto"/>
        <w:ind w:left="851" w:right="992"/>
        <w:jc w:val="both"/>
        <w:rPr>
          <w:rFonts w:ascii="Palatino Linotype" w:hAnsi="Palatino Linotype"/>
          <w:i/>
        </w:rPr>
      </w:pPr>
    </w:p>
    <w:p w:rsidR="00AC0505" w:rsidRPr="00BC5FC7" w:rsidRDefault="00AC0505" w:rsidP="00AC0505">
      <w:pPr>
        <w:spacing w:after="0" w:line="276" w:lineRule="auto"/>
        <w:ind w:left="851" w:right="992"/>
        <w:jc w:val="both"/>
        <w:rPr>
          <w:rFonts w:ascii="Palatino Linotype" w:hAnsi="Palatino Linotype"/>
          <w:i/>
        </w:rPr>
      </w:pPr>
      <w:r w:rsidRPr="00BC5FC7">
        <w:rPr>
          <w:rFonts w:ascii="Palatino Linotype" w:hAnsi="Palatino Linotype"/>
          <w:i/>
        </w:rPr>
        <w:t xml:space="preserve">El hecho de que sea hasta la sentencia que se sobresea en el juicio de amparo, con fundamento en lo que establece la </w:t>
      </w:r>
      <w:hyperlink r:id="rId6" w:history="1">
        <w:r w:rsidRPr="00BC5FC7">
          <w:rPr>
            <w:rFonts w:ascii="Palatino Linotype" w:hAnsi="Palatino Linotype"/>
            <w:i/>
          </w:rPr>
          <w:t>fracción XII, del artículo 73, de la Ley de Amparo</w:t>
        </w:r>
      </w:hyperlink>
      <w:r w:rsidRPr="00BC5FC7">
        <w:rPr>
          <w:rFonts w:ascii="Palatino Linotype" w:hAnsi="Palatino Linotype"/>
          <w:i/>
        </w:rPr>
        <w:t xml:space="preserve">, es decir, cuando el Juez al momento de dictar resolución, advierta que la demanda fue presentada extemporáneamente, </w:t>
      </w:r>
      <w:r w:rsidRPr="00BC5FC7">
        <w:rPr>
          <w:rFonts w:ascii="Palatino Linotype" w:hAnsi="Palatino Linotype"/>
          <w:b/>
          <w:i/>
          <w:u w:val="single"/>
        </w:rPr>
        <w:t>no resulta incongruente con el hecho de haber sido admitida a trámite, pues en el auto admisorio sólo se establece el cumplimiento de determinados requisitos</w:t>
      </w:r>
      <w:r w:rsidRPr="00BC5FC7">
        <w:rPr>
          <w:rFonts w:ascii="Palatino Linotype" w:hAnsi="Palatino Linotype"/>
          <w:i/>
        </w:rPr>
        <w:t xml:space="preserve"> y si en aquél, el a quo no se percató o no señaló la extemporaneidad de la demanda, ello obedece a que las partes tienen hasta la audiencia constitucional la oportunidad de aportar las </w:t>
      </w:r>
      <w:r w:rsidRPr="00BC5FC7">
        <w:rPr>
          <w:rFonts w:ascii="Palatino Linotype" w:hAnsi="Palatino Linotype"/>
          <w:i/>
        </w:rPr>
        <w:lastRenderedPageBreak/>
        <w:t xml:space="preserve">pruebas necesarias y de formular los alegatos convenientes a su favor, pues la manifestación del quejoso de haber conocido el acto reclamado en determinada fecha, pudo variar al exhibir las constancias de notificación relativas, </w:t>
      </w:r>
      <w:r w:rsidRPr="00BC5FC7">
        <w:rPr>
          <w:rFonts w:ascii="Palatino Linotype" w:hAnsi="Palatino Linotype"/>
          <w:b/>
          <w:i/>
          <w:u w:val="single"/>
        </w:rPr>
        <w:t>de tal suerte que si el Juez al momento de dictar sentencia, se percató de que la demanda se presentó en forma extemporánea, de acuerdo al citado artículo, la resolución que sobreseyó fue correcta</w:t>
      </w:r>
      <w:r w:rsidRPr="00BC5FC7">
        <w:rPr>
          <w:rFonts w:ascii="Palatino Linotype" w:hAnsi="Palatino Linotype"/>
          <w:i/>
        </w:rPr>
        <w:t>.</w:t>
      </w:r>
    </w:p>
    <w:p w:rsidR="00AC0505" w:rsidRPr="00BC5FC7" w:rsidRDefault="00AC0505" w:rsidP="00AC0505">
      <w:pPr>
        <w:spacing w:after="0" w:line="276" w:lineRule="auto"/>
        <w:ind w:left="851" w:right="992"/>
        <w:jc w:val="both"/>
        <w:rPr>
          <w:rFonts w:ascii="Palatino Linotype" w:hAnsi="Palatino Linotype"/>
          <w:i/>
        </w:rPr>
      </w:pPr>
    </w:p>
    <w:p w:rsidR="00AC0505" w:rsidRPr="00BC5FC7" w:rsidRDefault="00AC0505" w:rsidP="00AC0505">
      <w:pPr>
        <w:spacing w:after="0" w:line="276" w:lineRule="auto"/>
        <w:ind w:left="851" w:right="992"/>
        <w:jc w:val="both"/>
        <w:rPr>
          <w:rFonts w:ascii="Palatino Linotype" w:hAnsi="Palatino Linotype"/>
          <w:i/>
        </w:rPr>
      </w:pPr>
      <w:r w:rsidRPr="00BC5FC7">
        <w:rPr>
          <w:rFonts w:ascii="Palatino Linotype" w:hAnsi="Palatino Linotype"/>
          <w:i/>
        </w:rPr>
        <w:t>CUARTO TRIBUNAL COLEGIADO EN MATERIA ADMINISTRATIVA DEL PRIMER CIRCUITO.</w:t>
      </w:r>
    </w:p>
    <w:p w:rsidR="00AC0505" w:rsidRPr="00BC5FC7" w:rsidRDefault="00AC0505" w:rsidP="00AC0505">
      <w:pPr>
        <w:spacing w:after="0" w:line="276" w:lineRule="auto"/>
        <w:ind w:left="851" w:right="992"/>
        <w:jc w:val="both"/>
        <w:rPr>
          <w:rFonts w:ascii="Palatino Linotype" w:hAnsi="Palatino Linotype"/>
          <w:i/>
        </w:rPr>
      </w:pPr>
    </w:p>
    <w:p w:rsidR="00AC0505" w:rsidRPr="00BC5FC7" w:rsidRDefault="00AC0505" w:rsidP="00AC0505">
      <w:pPr>
        <w:spacing w:after="0" w:line="276" w:lineRule="auto"/>
        <w:ind w:left="851" w:right="992"/>
        <w:jc w:val="both"/>
        <w:rPr>
          <w:rFonts w:ascii="Palatino Linotype" w:hAnsi="Palatino Linotype"/>
          <w:i/>
        </w:rPr>
      </w:pPr>
      <w:r w:rsidRPr="00BC5FC7">
        <w:rPr>
          <w:rFonts w:ascii="Palatino Linotype" w:hAnsi="Palatino Linotype"/>
          <w:i/>
        </w:rPr>
        <w:t>Amparo en revisión 3524/95. Tequila Eucario González, S.A. de C.V. 31 de enero de 1996. Unanimidad de votos. Ponente: David Delgadillo Guerrero. Secretario: Ramón E. García Rodríguez.”</w:t>
      </w:r>
    </w:p>
    <w:p w:rsidR="00AC0505" w:rsidRPr="00BC5FC7" w:rsidRDefault="00AC0505" w:rsidP="00AC0505">
      <w:pPr>
        <w:spacing w:after="0" w:line="276" w:lineRule="auto"/>
        <w:jc w:val="both"/>
        <w:rPr>
          <w:rFonts w:ascii="Palatino Linotype" w:hAnsi="Palatino Linotype"/>
        </w:rPr>
      </w:pPr>
    </w:p>
    <w:p w:rsidR="00250F74" w:rsidRDefault="00AC0505" w:rsidP="00AC0505">
      <w:pPr>
        <w:spacing w:after="0" w:line="360" w:lineRule="auto"/>
        <w:jc w:val="both"/>
        <w:rPr>
          <w:rFonts w:ascii="Palatino Linotype" w:hAnsi="Palatino Linotype"/>
        </w:rPr>
      </w:pPr>
      <w:r w:rsidRPr="00306672">
        <w:rPr>
          <w:rFonts w:ascii="Palatino Linotype" w:hAnsi="Palatino Linotype"/>
        </w:rPr>
        <w:t>Ahora bien, de</w:t>
      </w:r>
      <w:r w:rsidRPr="00BC5FC7">
        <w:rPr>
          <w:rFonts w:ascii="Palatino Linotype" w:hAnsi="Palatino Linotype"/>
        </w:rPr>
        <w:t xml:space="preserve"> los autos del recurso de revisión </w:t>
      </w:r>
      <w:r w:rsidR="00250F74" w:rsidRPr="00250F74">
        <w:rPr>
          <w:rFonts w:ascii="Palatino Linotype" w:hAnsi="Palatino Linotype"/>
        </w:rPr>
        <w:t>00677/INFOEM/IP/RR/2019</w:t>
      </w:r>
      <w:r w:rsidRPr="00BC5FC7">
        <w:rPr>
          <w:rFonts w:ascii="Palatino Linotype" w:hAnsi="Palatino Linotype"/>
        </w:rPr>
        <w:t xml:space="preserve"> se aprecia que en fecha </w:t>
      </w:r>
      <w:r w:rsidR="00250F74">
        <w:rPr>
          <w:rFonts w:ascii="Palatino Linotype" w:hAnsi="Palatino Linotype"/>
        </w:rPr>
        <w:t>catorce de febrero de dos mil diecinueve,</w:t>
      </w:r>
      <w:r w:rsidRPr="00BC5FC7">
        <w:rPr>
          <w:rFonts w:ascii="Palatino Linotype" w:hAnsi="Palatino Linotype"/>
        </w:rPr>
        <w:t xml:space="preserve"> el recurrente </w:t>
      </w:r>
      <w:r w:rsidRPr="00BC5FC7">
        <w:rPr>
          <w:rFonts w:ascii="Palatino Linotype" w:hAnsi="Palatino Linotype"/>
          <w:b/>
          <w:u w:val="single"/>
        </w:rPr>
        <w:t>interpuso</w:t>
      </w:r>
      <w:r w:rsidRPr="00BC5FC7">
        <w:rPr>
          <w:rFonts w:ascii="Palatino Linotype" w:hAnsi="Palatino Linotype"/>
        </w:rPr>
        <w:t xml:space="preserve"> recurso de revisión y en la m</w:t>
      </w:r>
      <w:r w:rsidR="00C84A89">
        <w:rPr>
          <w:rFonts w:ascii="Palatino Linotype" w:hAnsi="Palatino Linotype"/>
        </w:rPr>
        <w:t>isma fecha éste fue turnado al Comisionado P</w:t>
      </w:r>
      <w:r w:rsidRPr="00BC5FC7">
        <w:rPr>
          <w:rFonts w:ascii="Palatino Linotype" w:hAnsi="Palatino Linotype"/>
        </w:rPr>
        <w:t>onente, como se aprecia a continuación:</w:t>
      </w:r>
    </w:p>
    <w:p w:rsidR="00250F74" w:rsidRPr="00BC5FC7" w:rsidRDefault="00250F74" w:rsidP="00250F74">
      <w:pPr>
        <w:spacing w:after="0" w:line="360" w:lineRule="auto"/>
        <w:jc w:val="center"/>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7F248CC4" wp14:editId="3839436C">
                <wp:simplePos x="0" y="0"/>
                <wp:positionH relativeFrom="column">
                  <wp:posOffset>602961</wp:posOffset>
                </wp:positionH>
                <wp:positionV relativeFrom="paragraph">
                  <wp:posOffset>847033</wp:posOffset>
                </wp:positionV>
                <wp:extent cx="4620491" cy="561052"/>
                <wp:effectExtent l="0" t="0" r="27940" b="10795"/>
                <wp:wrapNone/>
                <wp:docPr id="5" name="Rectángulo 5"/>
                <wp:cNvGraphicFramePr/>
                <a:graphic xmlns:a="http://schemas.openxmlformats.org/drawingml/2006/main">
                  <a:graphicData uri="http://schemas.microsoft.com/office/word/2010/wordprocessingShape">
                    <wps:wsp>
                      <wps:cNvSpPr/>
                      <wps:spPr>
                        <a:xfrm>
                          <a:off x="0" y="0"/>
                          <a:ext cx="4620491" cy="56105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F6A5" id="Rectángulo 5" o:spid="_x0000_s1026" style="position:absolute;margin-left:47.5pt;margin-top:66.7pt;width:363.8pt;height:4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" filled="f" strokecolor="red" strokeweight="1pt"/>
            </w:pict>
          </mc:Fallback>
        </mc:AlternateContent>
      </w:r>
      <w:r w:rsidR="004C1241">
        <w:rPr>
          <w:rFonts w:ascii="Palatino Linotype" w:hAnsi="Palatino Linotype"/>
          <w:noProof/>
          <w:lang w:eastAsia="es-MX"/>
        </w:rPr>
        <w:drawing>
          <wp:inline distT="0" distB="0" distL="0" distR="0">
            <wp:extent cx="5067300" cy="2181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7300" cy="2181225"/>
                    </a:xfrm>
                    <a:prstGeom prst="rect">
                      <a:avLst/>
                    </a:prstGeom>
                    <a:noFill/>
                    <a:ln>
                      <a:noFill/>
                    </a:ln>
                  </pic:spPr>
                </pic:pic>
              </a:graphicData>
            </a:graphic>
          </wp:inline>
        </w:drawing>
      </w:r>
    </w:p>
    <w:p w:rsidR="00AC0505" w:rsidRPr="00BC5FC7" w:rsidRDefault="00AC0505" w:rsidP="00AC0505">
      <w:pPr>
        <w:spacing w:after="0" w:line="360" w:lineRule="auto"/>
        <w:jc w:val="center"/>
        <w:rPr>
          <w:rFonts w:ascii="Palatino Linotype" w:hAnsi="Palatino Linotype"/>
        </w:rPr>
      </w:pPr>
    </w:p>
    <w:p w:rsidR="00AC0505" w:rsidRPr="00BC5FC7" w:rsidRDefault="00AC0505" w:rsidP="00AC0505">
      <w:pPr>
        <w:spacing w:after="0" w:line="360" w:lineRule="auto"/>
        <w:ind w:left="-851"/>
        <w:jc w:val="both"/>
        <w:rPr>
          <w:noProof/>
          <w:lang w:eastAsia="es-MX"/>
        </w:rPr>
      </w:pPr>
      <w:r w:rsidRPr="00BC5FC7">
        <w:rPr>
          <w:noProof/>
          <w:lang w:eastAsia="es-MX"/>
        </w:rPr>
        <w:lastRenderedPageBreak/>
        <w:t xml:space="preserve"> </w:t>
      </w: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Como podemos apreciar el propio expediente electrónico separan la interposición del recurso, el turno y su admisión, porque evidentemente no son la misma actuación ni se refieren al mismo acto, como fue analizado.</w:t>
      </w:r>
    </w:p>
    <w:p w:rsidR="00AC0505" w:rsidRPr="00BC5FC7" w:rsidRDefault="00AC0505" w:rsidP="00AC0505">
      <w:pPr>
        <w:spacing w:after="0" w:line="360" w:lineRule="auto"/>
        <w:jc w:val="both"/>
        <w:rPr>
          <w:rFonts w:ascii="Palatino Linotype" w:hAnsi="Palatino Linotype"/>
        </w:rPr>
      </w:pPr>
    </w:p>
    <w:p w:rsidR="00AC0505" w:rsidRDefault="00C84A89" w:rsidP="00AC0505">
      <w:pPr>
        <w:spacing w:after="0" w:line="360" w:lineRule="auto"/>
        <w:jc w:val="both"/>
        <w:rPr>
          <w:rFonts w:ascii="Palatino Linotype" w:hAnsi="Palatino Linotype"/>
        </w:rPr>
      </w:pPr>
      <w:r>
        <w:rPr>
          <w:rFonts w:ascii="Palatino Linotype" w:hAnsi="Palatino Linotype"/>
        </w:rPr>
        <w:t>Así las cosas, resulta que el</w:t>
      </w:r>
      <w:r w:rsidR="00AC0505" w:rsidRPr="00BC5FC7">
        <w:rPr>
          <w:rFonts w:ascii="Palatino Linotype" w:hAnsi="Palatino Linotype"/>
        </w:rPr>
        <w:t xml:space="preserve"> Comis</w:t>
      </w:r>
      <w:r>
        <w:rPr>
          <w:rFonts w:ascii="Palatino Linotype" w:hAnsi="Palatino Linotype"/>
        </w:rPr>
        <w:t>ionado</w:t>
      </w:r>
      <w:r w:rsidR="00AC0505" w:rsidRPr="00BC5FC7">
        <w:rPr>
          <w:rFonts w:ascii="Palatino Linotype" w:hAnsi="Palatino Linotype"/>
        </w:rPr>
        <w:t xml:space="preserve"> Ponente admitió el recurso de revisión de forma separada a la interposición, tan es así que se dictó en otra fecha a su interposición como se observa a continuación:</w:t>
      </w:r>
    </w:p>
    <w:p w:rsidR="00250F74" w:rsidRPr="00BC5FC7" w:rsidRDefault="00250F74" w:rsidP="00AC0505">
      <w:pPr>
        <w:spacing w:after="0"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0A9CB121" wp14:editId="38440546">
                <wp:simplePos x="0" y="0"/>
                <wp:positionH relativeFrom="column">
                  <wp:posOffset>935470</wp:posOffset>
                </wp:positionH>
                <wp:positionV relativeFrom="paragraph">
                  <wp:posOffset>2119341</wp:posOffset>
                </wp:positionV>
                <wp:extent cx="3228110" cy="0"/>
                <wp:effectExtent l="0" t="0" r="29845" b="19050"/>
                <wp:wrapNone/>
                <wp:docPr id="11" name="Conector recto 11"/>
                <wp:cNvGraphicFramePr/>
                <a:graphic xmlns:a="http://schemas.openxmlformats.org/drawingml/2006/main">
                  <a:graphicData uri="http://schemas.microsoft.com/office/word/2010/wordprocessingShape">
                    <wps:wsp>
                      <wps:cNvCnPr/>
                      <wps:spPr>
                        <a:xfrm>
                          <a:off x="0" y="0"/>
                          <a:ext cx="322811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6DD07" id="Conector recto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66.9pt" to="327.85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" strokecolor="red" strokeweight=".5pt">
                <v:stroke joinstyle="miter"/>
              </v:line>
            </w:pict>
          </mc:Fallback>
        </mc:AlternateContent>
      </w:r>
      <w:r>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E232701" wp14:editId="459C188C">
                <wp:simplePos x="0" y="0"/>
                <wp:positionH relativeFrom="column">
                  <wp:posOffset>2057689</wp:posOffset>
                </wp:positionH>
                <wp:positionV relativeFrom="paragraph">
                  <wp:posOffset>436014</wp:posOffset>
                </wp:positionV>
                <wp:extent cx="3522518" cy="312420"/>
                <wp:effectExtent l="0" t="0" r="20955" b="11430"/>
                <wp:wrapNone/>
                <wp:docPr id="9" name="Rectángulo 9"/>
                <wp:cNvGraphicFramePr/>
                <a:graphic xmlns:a="http://schemas.openxmlformats.org/drawingml/2006/main">
                  <a:graphicData uri="http://schemas.microsoft.com/office/word/2010/wordprocessingShape">
                    <wps:wsp>
                      <wps:cNvSpPr/>
                      <wps:spPr>
                        <a:xfrm>
                          <a:off x="0" y="0"/>
                          <a:ext cx="3522518" cy="3124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CE04E3" id="Rectángulo 9" o:spid="_x0000_s1026" style="position:absolute;margin-left:162pt;margin-top:34.35pt;width:277.35pt;height:24.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" filled="f" strokecolor="red" strokeweight="1pt"/>
            </w:pict>
          </mc:Fallback>
        </mc:AlternateContent>
      </w:r>
      <w:r w:rsidR="004C1241">
        <w:rPr>
          <w:rFonts w:ascii="Palatino Linotype" w:hAnsi="Palatino Linotype"/>
          <w:noProof/>
          <w:lang w:eastAsia="es-MX"/>
        </w:rPr>
        <w:drawing>
          <wp:inline distT="0" distB="0" distL="0" distR="0">
            <wp:extent cx="5648325" cy="37814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3781425"/>
                    </a:xfrm>
                    <a:prstGeom prst="rect">
                      <a:avLst/>
                    </a:prstGeom>
                    <a:noFill/>
                    <a:ln>
                      <a:noFill/>
                    </a:ln>
                  </pic:spPr>
                </pic:pic>
              </a:graphicData>
            </a:graphic>
          </wp:inline>
        </w:drawing>
      </w:r>
    </w:p>
    <w:p w:rsidR="00AC0505" w:rsidRPr="00BC5FC7" w:rsidRDefault="00AC0505" w:rsidP="00AC0505">
      <w:pPr>
        <w:spacing w:after="0" w:line="360" w:lineRule="auto"/>
        <w:jc w:val="center"/>
        <w:rPr>
          <w:rFonts w:ascii="Palatino Linotype" w:hAnsi="Palatino Linotype"/>
        </w:rPr>
      </w:pPr>
      <w:bookmarkStart w:id="0" w:name="_GoBack"/>
      <w:bookmarkEnd w:id="0"/>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lastRenderedPageBreak/>
        <w:t>Es decir, en el momento procesal oportuno para decretar su desechamiento o admi</w:t>
      </w:r>
      <w:r w:rsidR="00AA7C8B">
        <w:rPr>
          <w:rFonts w:ascii="Palatino Linotype" w:hAnsi="Palatino Linotype"/>
        </w:rPr>
        <w:t>sión, el Comisionado Ponente lo</w:t>
      </w:r>
      <w:r w:rsidRPr="00BC5FC7">
        <w:rPr>
          <w:rFonts w:ascii="Palatino Linotype" w:hAnsi="Palatino Linotype"/>
        </w:rPr>
        <w:t xml:space="preserve"> admitió en términos del artículo 185 fracción I.</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cs="Arial"/>
        </w:rPr>
      </w:pPr>
      <w:r w:rsidRPr="00BC5FC7">
        <w:rPr>
          <w:rFonts w:ascii="Palatino Linotype" w:hAnsi="Palatino Linotype" w:cs="Arial"/>
        </w:rPr>
        <w:t>Entonces, al no desecharse el recurso en particular y por ende admitirlo, es que se considera que es procedente, es decir, al admitirse un asunto es porque se llegó a la conclusión de que operaron las condiciones que hacen a un recurso de revisión como procedente, en suma, la admisión y la procedencia deben tratarse como un solo acto, porque la ley no hace tal distinción sino que establece ambos en un solo acto, citado en el supuesto legal arriba transcrito.</w:t>
      </w:r>
    </w:p>
    <w:p w:rsidR="00AC0505" w:rsidRPr="00BC5FC7" w:rsidRDefault="00AC0505" w:rsidP="00AC0505">
      <w:pPr>
        <w:spacing w:after="0" w:line="360" w:lineRule="auto"/>
        <w:jc w:val="both"/>
        <w:rPr>
          <w:rFonts w:ascii="Palatino Linotype" w:hAnsi="Palatino Linotype" w:cs="Arial"/>
        </w:rPr>
      </w:pPr>
    </w:p>
    <w:p w:rsidR="00AC0505" w:rsidRPr="00BC5FC7" w:rsidRDefault="00AC0505" w:rsidP="000E5A91">
      <w:pPr>
        <w:spacing w:before="240" w:after="240" w:line="360" w:lineRule="auto"/>
        <w:jc w:val="both"/>
        <w:rPr>
          <w:rFonts w:ascii="Palatino Linotype" w:hAnsi="Palatino Linotype" w:cs="Arial"/>
        </w:rPr>
      </w:pPr>
      <w:r w:rsidRPr="00BC5FC7">
        <w:rPr>
          <w:rFonts w:ascii="Palatino Linotype" w:hAnsi="Palatino Linotype" w:cs="Arial"/>
        </w:rPr>
        <w:t>Toda vez que el recurso de revisión en estudio, se ha decretado su admisión y por ende su procedencia, es porque se actualizó alguna de las hipótesis previstas en el artículo 179 de la Ley en la materia, que claramente establece:</w:t>
      </w:r>
    </w:p>
    <w:p w:rsidR="00AC0505" w:rsidRPr="00BC5FC7" w:rsidRDefault="00AC0505" w:rsidP="000E5A91">
      <w:pPr>
        <w:spacing w:before="240" w:after="240" w:line="360" w:lineRule="auto"/>
        <w:jc w:val="both"/>
        <w:rPr>
          <w:rFonts w:ascii="Palatino Linotype" w:hAnsi="Palatino Linotype" w:cs="Arial"/>
        </w:rPr>
      </w:pPr>
    </w:p>
    <w:p w:rsidR="00AC0505" w:rsidRPr="00BC5FC7" w:rsidRDefault="00AC0505" w:rsidP="000E5A91">
      <w:pPr>
        <w:spacing w:before="240" w:after="240" w:line="276" w:lineRule="auto"/>
        <w:ind w:left="851" w:right="1134"/>
        <w:jc w:val="both"/>
        <w:rPr>
          <w:rFonts w:ascii="Palatino Linotype" w:hAnsi="Palatino Linotype" w:cs="Arial"/>
          <w:i/>
        </w:rPr>
      </w:pPr>
      <w:r w:rsidRPr="00BC5FC7">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BC5FC7">
        <w:rPr>
          <w:rFonts w:ascii="Palatino Linotype" w:hAnsi="Palatino Linotype" w:cs="Arial"/>
          <w:b/>
          <w:i/>
          <w:u w:val="single"/>
        </w:rPr>
        <w:t>y procederá</w:t>
      </w:r>
      <w:r w:rsidRPr="00BC5FC7">
        <w:rPr>
          <w:rFonts w:ascii="Palatino Linotype" w:hAnsi="Palatino Linotype" w:cs="Arial"/>
          <w:i/>
        </w:rPr>
        <w:t xml:space="preserve"> en contra de las siguientes causas:”</w:t>
      </w:r>
    </w:p>
    <w:p w:rsidR="000E5A91" w:rsidRPr="00BC5FC7" w:rsidRDefault="000E5A91" w:rsidP="000E5A91">
      <w:pPr>
        <w:spacing w:before="240" w:after="240" w:line="360" w:lineRule="auto"/>
        <w:jc w:val="both"/>
        <w:rPr>
          <w:rFonts w:ascii="Palatino Linotype" w:hAnsi="Palatino Linotype" w:cs="Arial"/>
        </w:rPr>
      </w:pPr>
    </w:p>
    <w:p w:rsidR="00AC0505" w:rsidRPr="00AA7C8B" w:rsidRDefault="00AC0505" w:rsidP="000E5A91">
      <w:pPr>
        <w:spacing w:before="240" w:after="240" w:line="360" w:lineRule="auto"/>
        <w:jc w:val="both"/>
        <w:rPr>
          <w:rFonts w:ascii="Palatino Linotype" w:hAnsi="Palatino Linotype" w:cs="Arial"/>
        </w:rPr>
      </w:pPr>
      <w:r w:rsidRPr="00BC5FC7">
        <w:rPr>
          <w:rFonts w:ascii="Palatino Linotype" w:hAnsi="Palatino Linotype" w:cs="Arial"/>
        </w:rPr>
        <w:t xml:space="preserve">Como se puede observar, el artículo en cita es el único dentro de la Ley de Transparencia y Acceso a la Información Pública del Estado de México y Municipios, que prevé las causas de procedencia de los recursos de revisión, (sin que se advierta la existencia de alguno otro) por </w:t>
      </w:r>
      <w:r w:rsidRPr="00BC5FC7">
        <w:rPr>
          <w:rFonts w:ascii="Palatino Linotype" w:hAnsi="Palatino Linotype" w:cs="Arial"/>
        </w:rPr>
        <w:lastRenderedPageBreak/>
        <w:t>ello es que para que se admita un recurso de revisión se debe actualizar uno de los supuestos previstos en el artículo aludido.</w:t>
      </w:r>
    </w:p>
    <w:p w:rsidR="00AC0505" w:rsidRDefault="00AC0505" w:rsidP="00AC0505">
      <w:pPr>
        <w:spacing w:after="0" w:line="360" w:lineRule="auto"/>
        <w:jc w:val="both"/>
        <w:rPr>
          <w:rFonts w:ascii="Palatino Linotype" w:hAnsi="Palatino Linotype"/>
          <w:sz w:val="24"/>
          <w:szCs w:val="24"/>
        </w:rPr>
      </w:pPr>
    </w:p>
    <w:p w:rsidR="000E5A91" w:rsidRDefault="000E5A91" w:rsidP="00AC0505">
      <w:pPr>
        <w:spacing w:after="0" w:line="360" w:lineRule="auto"/>
        <w:jc w:val="both"/>
        <w:rPr>
          <w:rFonts w:ascii="Palatino Linotype" w:hAnsi="Palatino Linotype"/>
          <w:sz w:val="24"/>
          <w:szCs w:val="24"/>
        </w:rPr>
      </w:pPr>
    </w:p>
    <w:p w:rsidR="000E5A91" w:rsidRDefault="000E5A91" w:rsidP="00AC0505">
      <w:pPr>
        <w:spacing w:after="0" w:line="360" w:lineRule="auto"/>
        <w:jc w:val="both"/>
        <w:rPr>
          <w:rFonts w:ascii="Palatino Linotype" w:hAnsi="Palatino Linotype"/>
          <w:sz w:val="24"/>
          <w:szCs w:val="24"/>
        </w:rPr>
      </w:pPr>
    </w:p>
    <w:p w:rsidR="000E5A91" w:rsidRDefault="000E5A91" w:rsidP="00AC0505">
      <w:pPr>
        <w:spacing w:after="0" w:line="360" w:lineRule="auto"/>
        <w:jc w:val="both"/>
        <w:rPr>
          <w:rFonts w:ascii="Palatino Linotype" w:hAnsi="Palatino Linotype"/>
          <w:sz w:val="24"/>
          <w:szCs w:val="24"/>
        </w:rPr>
      </w:pPr>
    </w:p>
    <w:p w:rsidR="00AC0505" w:rsidRDefault="00AC0505" w:rsidP="00AC0505">
      <w:pPr>
        <w:spacing w:after="0" w:line="360" w:lineRule="auto"/>
        <w:jc w:val="both"/>
        <w:rPr>
          <w:rFonts w:ascii="Palatino Linotype" w:hAnsi="Palatino Linotype"/>
          <w:sz w:val="24"/>
          <w:szCs w:val="24"/>
        </w:rPr>
      </w:pPr>
    </w:p>
    <w:p w:rsidR="00AC0505" w:rsidRDefault="00AC0505" w:rsidP="00AC0505">
      <w:pPr>
        <w:spacing w:after="0" w:line="360" w:lineRule="auto"/>
        <w:jc w:val="both"/>
        <w:rPr>
          <w:rFonts w:ascii="Palatino Linotype" w:hAnsi="Palatino Linotype"/>
          <w:sz w:val="24"/>
          <w:szCs w:val="24"/>
        </w:rPr>
      </w:pPr>
    </w:p>
    <w:p w:rsidR="00B524AA" w:rsidRDefault="00AC0505" w:rsidP="00AC0505">
      <w:pPr>
        <w:spacing w:after="0" w:line="360" w:lineRule="auto"/>
        <w:jc w:val="center"/>
        <w:rPr>
          <w:rFonts w:ascii="Palatino Linotype" w:hAnsi="Palatino Linotype"/>
          <w:b/>
          <w:sz w:val="28"/>
          <w:szCs w:val="28"/>
        </w:rPr>
      </w:pPr>
      <w:r w:rsidRPr="003F3117">
        <w:rPr>
          <w:rFonts w:ascii="Palatino Linotype" w:hAnsi="Palatino Linotype"/>
          <w:b/>
          <w:sz w:val="28"/>
          <w:szCs w:val="28"/>
        </w:rPr>
        <w:t>Zulema Martínez Sánchez</w:t>
      </w:r>
    </w:p>
    <w:p w:rsidR="00B524AA" w:rsidRDefault="00B524AA" w:rsidP="00AC0505">
      <w:pPr>
        <w:spacing w:after="0" w:line="360" w:lineRule="auto"/>
        <w:jc w:val="center"/>
        <w:rPr>
          <w:rFonts w:ascii="Palatino Linotype" w:hAnsi="Palatino Linotype"/>
          <w:b/>
          <w:sz w:val="28"/>
          <w:szCs w:val="28"/>
        </w:rPr>
      </w:pPr>
      <w:r>
        <w:rPr>
          <w:rFonts w:ascii="Palatino Linotype" w:hAnsi="Palatino Linotype"/>
          <w:b/>
          <w:sz w:val="28"/>
          <w:szCs w:val="28"/>
        </w:rPr>
        <w:t>Comisionada Presidenta</w:t>
      </w:r>
      <w:r w:rsidR="00AC0505">
        <w:rPr>
          <w:rFonts w:ascii="Palatino Linotype" w:hAnsi="Palatino Linotype"/>
          <w:b/>
          <w:sz w:val="28"/>
          <w:szCs w:val="28"/>
        </w:rPr>
        <w:t xml:space="preserve">       </w:t>
      </w:r>
    </w:p>
    <w:p w:rsidR="00AC0505" w:rsidRDefault="00CA7284" w:rsidP="00AC0505">
      <w:pPr>
        <w:spacing w:after="0" w:line="360" w:lineRule="auto"/>
        <w:jc w:val="center"/>
        <w:rPr>
          <w:rFonts w:ascii="Palatino Linotype" w:hAnsi="Palatino Linotype"/>
          <w:b/>
          <w:sz w:val="28"/>
          <w:szCs w:val="28"/>
        </w:rPr>
      </w:pPr>
      <w:r w:rsidRPr="00CA7284">
        <w:rPr>
          <w:rFonts w:ascii="Palatino Linotype" w:hAnsi="Palatino Linotype"/>
          <w:b/>
          <w:sz w:val="28"/>
          <w:szCs w:val="28"/>
        </w:rPr>
        <w:t>(Rúbrica)</w:t>
      </w:r>
    </w:p>
    <w:p w:rsidR="00E3725C" w:rsidRDefault="00E3725C" w:rsidP="00AC0505">
      <w:pPr>
        <w:spacing w:after="0" w:line="240" w:lineRule="auto"/>
        <w:jc w:val="both"/>
        <w:rPr>
          <w:rFonts w:ascii="Palatino Linotype" w:hAnsi="Palatino Linotype"/>
          <w:b/>
          <w:sz w:val="24"/>
          <w:szCs w:val="24"/>
        </w:rPr>
      </w:pPr>
    </w:p>
    <w:p w:rsidR="00B524AA" w:rsidRDefault="00B524AA" w:rsidP="00AC0505">
      <w:pPr>
        <w:spacing w:after="0" w:line="240" w:lineRule="auto"/>
        <w:jc w:val="both"/>
        <w:rPr>
          <w:rFonts w:ascii="Palatino Linotype" w:hAnsi="Palatino Linotype"/>
          <w:sz w:val="20"/>
          <w:szCs w:val="20"/>
        </w:rPr>
      </w:pPr>
    </w:p>
    <w:p w:rsidR="00AC0505" w:rsidRPr="00862BD4" w:rsidRDefault="00AC0505" w:rsidP="00AC0505">
      <w:pPr>
        <w:spacing w:after="0" w:line="240" w:lineRule="auto"/>
        <w:jc w:val="both"/>
        <w:rPr>
          <w:rFonts w:ascii="Palatino Linotype" w:hAnsi="Palatino Linotype"/>
          <w:sz w:val="20"/>
          <w:szCs w:val="20"/>
        </w:rPr>
      </w:pPr>
      <w:r w:rsidRPr="00862BD4">
        <w:rPr>
          <w:rFonts w:ascii="Palatino Linotype" w:hAnsi="Palatino Linotype"/>
          <w:sz w:val="20"/>
          <w:szCs w:val="20"/>
        </w:rPr>
        <w:t>Esta hoja corres</w:t>
      </w:r>
      <w:r w:rsidR="00B524AA">
        <w:rPr>
          <w:rFonts w:ascii="Palatino Linotype" w:hAnsi="Palatino Linotype"/>
          <w:sz w:val="20"/>
          <w:szCs w:val="20"/>
        </w:rPr>
        <w:t>ponde al voto particular emitido</w:t>
      </w:r>
      <w:r w:rsidRPr="00862BD4">
        <w:rPr>
          <w:rFonts w:ascii="Palatino Linotype" w:hAnsi="Palatino Linotype"/>
          <w:sz w:val="20"/>
          <w:szCs w:val="20"/>
        </w:rPr>
        <w:t xml:space="preserve"> en el recurso de revisión </w:t>
      </w:r>
      <w:r w:rsidR="00250F74" w:rsidRPr="00250F74">
        <w:rPr>
          <w:rFonts w:ascii="Palatino Linotype" w:hAnsi="Palatino Linotype"/>
          <w:sz w:val="20"/>
          <w:szCs w:val="20"/>
        </w:rPr>
        <w:t>00677/INFOEM/IP/RR/2019.</w:t>
      </w:r>
      <w:r w:rsidR="00E3725C">
        <w:rPr>
          <w:rFonts w:ascii="Palatino Linotype" w:hAnsi="Palatino Linotype"/>
          <w:sz w:val="20"/>
          <w:szCs w:val="20"/>
        </w:rPr>
        <w:t xml:space="preserve">, </w:t>
      </w:r>
      <w:r w:rsidRPr="00862BD4">
        <w:rPr>
          <w:rFonts w:ascii="Palatino Linotype" w:hAnsi="Palatino Linotype"/>
          <w:sz w:val="20"/>
          <w:szCs w:val="20"/>
        </w:rPr>
        <w:t xml:space="preserve">aprobado en fecha </w:t>
      </w:r>
      <w:r w:rsidR="00BE480A">
        <w:rPr>
          <w:rFonts w:ascii="Palatino Linotype" w:hAnsi="Palatino Linotype"/>
          <w:sz w:val="20"/>
          <w:szCs w:val="20"/>
        </w:rPr>
        <w:t>diez de abril de dos mil diecinueve</w:t>
      </w:r>
      <w:r w:rsidRPr="00862BD4">
        <w:rPr>
          <w:rFonts w:ascii="Palatino Linotype" w:hAnsi="Palatino Linotype"/>
          <w:sz w:val="20"/>
          <w:szCs w:val="20"/>
        </w:rPr>
        <w:t>.</w:t>
      </w:r>
    </w:p>
    <w:p w:rsidR="002A5ADD" w:rsidRPr="009122C0" w:rsidRDefault="00A209B1" w:rsidP="009122C0">
      <w:pPr>
        <w:spacing w:after="0" w:line="240" w:lineRule="auto"/>
        <w:jc w:val="both"/>
        <w:rPr>
          <w:rFonts w:ascii="Palatino Linotype" w:hAnsi="Palatino Linotype"/>
          <w:sz w:val="16"/>
          <w:szCs w:val="16"/>
        </w:rPr>
      </w:pPr>
      <w:r>
        <w:rPr>
          <w:rFonts w:ascii="Palatino Linotype" w:hAnsi="Palatino Linotype"/>
          <w:sz w:val="20"/>
          <w:szCs w:val="20"/>
        </w:rPr>
        <w:t>OSAM/EJDG</w:t>
      </w:r>
    </w:p>
    <w:sectPr w:rsidR="002A5ADD" w:rsidRPr="009122C0" w:rsidSect="00115CE3">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547" w:rsidRDefault="008E6547" w:rsidP="00AC0505">
      <w:pPr>
        <w:spacing w:after="0" w:line="240" w:lineRule="auto"/>
      </w:pPr>
      <w:r>
        <w:separator/>
      </w:r>
    </w:p>
  </w:endnote>
  <w:endnote w:type="continuationSeparator" w:id="0">
    <w:p w:rsidR="008E6547" w:rsidRDefault="008E6547"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052AAA"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4C1241">
      <w:rPr>
        <w:rFonts w:ascii="Palatino Linotype" w:hAnsi="Palatino Linotype" w:cs="Arial"/>
        <w:b/>
        <w:bCs/>
        <w:noProof/>
        <w:sz w:val="22"/>
        <w:szCs w:val="22"/>
      </w:rPr>
      <w:t>8</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4C1241">
      <w:rPr>
        <w:rFonts w:ascii="Palatino Linotype" w:hAnsi="Palatino Linotype" w:cs="Arial"/>
        <w:b/>
        <w:bCs/>
        <w:noProof/>
        <w:sz w:val="22"/>
        <w:szCs w:val="22"/>
      </w:rPr>
      <w:t>8</w:t>
    </w:r>
    <w:r w:rsidRPr="006C50A8">
      <w:rPr>
        <w:rFonts w:ascii="Palatino Linotype" w:hAnsi="Palatino Linotype" w:cs="Arial"/>
        <w:b/>
        <w:bCs/>
        <w:sz w:val="22"/>
        <w:szCs w:val="22"/>
      </w:rPr>
      <w:fldChar w:fldCharType="end"/>
    </w:r>
  </w:p>
  <w:p w:rsidR="00D758BE" w:rsidRDefault="004C1241"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547" w:rsidRDefault="008E6547" w:rsidP="00AC0505">
      <w:pPr>
        <w:spacing w:after="0" w:line="240" w:lineRule="auto"/>
      </w:pPr>
      <w:r>
        <w:separator/>
      </w:r>
    </w:p>
  </w:footnote>
  <w:footnote w:type="continuationSeparator" w:id="0">
    <w:p w:rsidR="008E6547" w:rsidRDefault="008E6547"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C1241"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4C1241" w:rsidP="007263BB">
    <w:pPr>
      <w:pStyle w:val="Encabezado"/>
      <w:jc w:val="right"/>
      <w:rPr>
        <w:rFonts w:ascii="Arial" w:hAnsi="Arial" w:cs="Arial"/>
        <w:sz w:val="20"/>
        <w:szCs w:val="20"/>
      </w:rPr>
    </w:pPr>
  </w:p>
  <w:p w:rsidR="00D758BE" w:rsidRDefault="004C1241" w:rsidP="007263BB">
    <w:pPr>
      <w:pStyle w:val="Encabezado"/>
      <w:jc w:val="right"/>
      <w:rPr>
        <w:rFonts w:ascii="Arial" w:hAnsi="Arial" w:cs="Arial"/>
        <w:sz w:val="20"/>
        <w:szCs w:val="20"/>
      </w:rPr>
    </w:pPr>
  </w:p>
  <w:p w:rsidR="00706042" w:rsidRPr="009122C0" w:rsidRDefault="00052AAA" w:rsidP="007263BB">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VOTO PARTICULAR </w:t>
    </w:r>
  </w:p>
  <w:p w:rsidR="00EE5FB0" w:rsidRPr="009122C0"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RECURSO DE REVISIÓN </w:t>
    </w:r>
    <w:r w:rsidR="00250F74" w:rsidRPr="00250F74">
      <w:rPr>
        <w:rFonts w:ascii="Palatino Linotype" w:hAnsi="Palatino Linotype" w:cs="Arial"/>
        <w:b/>
        <w:sz w:val="19"/>
        <w:szCs w:val="19"/>
      </w:rPr>
      <w:t>00677/INFOEM/IP/RR/2019</w:t>
    </w:r>
    <w:r w:rsidR="00B85385" w:rsidRPr="009122C0">
      <w:rPr>
        <w:rFonts w:ascii="Palatino Linotype" w:hAnsi="Palatino Linotype" w:cs="Arial"/>
        <w:b/>
        <w:sz w:val="19"/>
        <w:szCs w:val="19"/>
      </w:rPr>
      <w:t>.</w:t>
    </w:r>
  </w:p>
  <w:p w:rsidR="00D758BE" w:rsidRPr="009122C0" w:rsidRDefault="004C1241" w:rsidP="007263BB">
    <w:pPr>
      <w:pStyle w:val="Encabezado"/>
      <w:jc w:val="right"/>
      <w:rPr>
        <w:rFonts w:ascii="Palatino Linotype" w:hAnsi="Palatino Linotype" w:cs="Arial"/>
        <w:sz w:val="19"/>
        <w:szCs w:val="19"/>
      </w:rPr>
    </w:pPr>
  </w:p>
  <w:p w:rsidR="00233AB2" w:rsidRDefault="004C1241"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52AAA"/>
    <w:rsid w:val="0005701A"/>
    <w:rsid w:val="000602C7"/>
    <w:rsid w:val="0009400C"/>
    <w:rsid w:val="000E5A91"/>
    <w:rsid w:val="001941BE"/>
    <w:rsid w:val="001C51EC"/>
    <w:rsid w:val="0024254B"/>
    <w:rsid w:val="00250F74"/>
    <w:rsid w:val="002562E3"/>
    <w:rsid w:val="00273061"/>
    <w:rsid w:val="00296CD8"/>
    <w:rsid w:val="002A5ADD"/>
    <w:rsid w:val="003031E7"/>
    <w:rsid w:val="003B4510"/>
    <w:rsid w:val="003E7FAC"/>
    <w:rsid w:val="004C1241"/>
    <w:rsid w:val="004C4149"/>
    <w:rsid w:val="004D3A60"/>
    <w:rsid w:val="004F2F4E"/>
    <w:rsid w:val="00506CDE"/>
    <w:rsid w:val="00786579"/>
    <w:rsid w:val="007E78A5"/>
    <w:rsid w:val="008017D8"/>
    <w:rsid w:val="00826A20"/>
    <w:rsid w:val="008E6547"/>
    <w:rsid w:val="009122C0"/>
    <w:rsid w:val="00A209B1"/>
    <w:rsid w:val="00AA7C8B"/>
    <w:rsid w:val="00AC0505"/>
    <w:rsid w:val="00B524AA"/>
    <w:rsid w:val="00B85385"/>
    <w:rsid w:val="00BE480A"/>
    <w:rsid w:val="00C00A80"/>
    <w:rsid w:val="00C84A89"/>
    <w:rsid w:val="00CA7284"/>
    <w:rsid w:val="00E3725C"/>
    <w:rsid w:val="00E92880"/>
    <w:rsid w:val="00F70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E491B9-7104-4815-8E15-883584D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AbrirModal(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1399</Words>
  <Characters>7700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2019-04-22T21:56:00Z</cp:lastPrinted>
  <dcterms:created xsi:type="dcterms:W3CDTF">2019-07-08T17:35:00Z</dcterms:created>
  <dcterms:modified xsi:type="dcterms:W3CDTF">2019-07-08T17:35:00Z</dcterms:modified>
</cp:coreProperties>
</file>